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22C90B" w14:textId="299B78AE" w:rsidR="00A60DFD" w:rsidRPr="00A67E45" w:rsidRDefault="00A60DFD" w:rsidP="00A67E45">
      <w:pPr>
        <w:tabs>
          <w:tab w:val="left" w:pos="2694"/>
        </w:tabs>
        <w:spacing w:line="276" w:lineRule="auto"/>
        <w:jc w:val="center"/>
        <w:rPr>
          <w:rFonts w:ascii="Times New Roman" w:hAnsi="Times New Roman" w:cs="Times New Roman"/>
          <w:sz w:val="32"/>
          <w:szCs w:val="32"/>
        </w:rPr>
      </w:pPr>
      <w:r w:rsidRPr="00A67E45">
        <w:rPr>
          <w:rFonts w:ascii="Times New Roman" w:hAnsi="Times New Roman" w:cs="Times New Roman"/>
          <w:b/>
          <w:bCs/>
          <w:sz w:val="32"/>
          <w:szCs w:val="32"/>
        </w:rPr>
        <w:t>Ability-To-Pay Theory of Taxation</w:t>
      </w:r>
    </w:p>
    <w:p w14:paraId="2A61F300" w14:textId="4807FC83" w:rsidR="00A60DFD" w:rsidRPr="00A67E45" w:rsidRDefault="00A60DFD" w:rsidP="00A67E45">
      <w:pPr>
        <w:tabs>
          <w:tab w:val="left" w:pos="2694"/>
        </w:tabs>
        <w:spacing w:line="276" w:lineRule="auto"/>
        <w:jc w:val="both"/>
        <w:rPr>
          <w:rFonts w:ascii="Times New Roman" w:hAnsi="Times New Roman" w:cs="Times New Roman"/>
          <w:sz w:val="24"/>
          <w:szCs w:val="24"/>
        </w:rPr>
      </w:pPr>
      <w:r w:rsidRPr="00A67E45">
        <w:rPr>
          <w:rFonts w:ascii="Times New Roman" w:hAnsi="Times New Roman" w:cs="Times New Roman"/>
          <w:sz w:val="24"/>
          <w:szCs w:val="24"/>
        </w:rPr>
        <w:t xml:space="preserve">The </w:t>
      </w:r>
      <w:r w:rsidRPr="00A67E45">
        <w:rPr>
          <w:rFonts w:ascii="Times New Roman" w:hAnsi="Times New Roman" w:cs="Times New Roman"/>
          <w:b/>
          <w:bCs/>
          <w:sz w:val="24"/>
          <w:szCs w:val="24"/>
        </w:rPr>
        <w:t>Ability-To-Pay Theory of Taxation</w:t>
      </w:r>
      <w:r w:rsidRPr="00A67E45">
        <w:rPr>
          <w:rFonts w:ascii="Times New Roman" w:hAnsi="Times New Roman" w:cs="Times New Roman"/>
          <w:sz w:val="24"/>
          <w:szCs w:val="24"/>
        </w:rPr>
        <w:t xml:space="preserve"> states that individuals should be taxed according to their capacity to pay, rather than the benefits or services they receive from the government. Under this principle, those who earn higher incomes or hold greater wealth contribute a higher amount (and percentage) of their income to public revenue, as paying taxes imposes a smaller financial sacrifice on them compared to low-income earners.</w:t>
      </w:r>
      <w:r w:rsidRPr="00A67E45">
        <w:rPr>
          <w:rFonts w:ascii="Times New Roman" w:hAnsi="Times New Roman" w:cs="Times New Roman"/>
          <w:sz w:val="24"/>
          <w:szCs w:val="24"/>
        </w:rPr>
        <w:br/>
      </w:r>
    </w:p>
    <w:p w14:paraId="0AB41D19" w14:textId="77777777" w:rsidR="00A60DFD" w:rsidRPr="00A67E45" w:rsidRDefault="00A60DFD" w:rsidP="00A67E45">
      <w:pPr>
        <w:tabs>
          <w:tab w:val="left" w:pos="2694"/>
        </w:tabs>
        <w:spacing w:line="276" w:lineRule="auto"/>
        <w:jc w:val="both"/>
        <w:rPr>
          <w:rFonts w:ascii="Times New Roman" w:hAnsi="Times New Roman" w:cs="Times New Roman"/>
          <w:b/>
          <w:bCs/>
          <w:sz w:val="24"/>
          <w:szCs w:val="24"/>
        </w:rPr>
      </w:pPr>
      <w:r w:rsidRPr="00A67E45">
        <w:rPr>
          <w:rFonts w:ascii="Times New Roman" w:hAnsi="Times New Roman" w:cs="Times New Roman"/>
          <w:b/>
          <w:bCs/>
          <w:sz w:val="24"/>
          <w:szCs w:val="24"/>
        </w:rPr>
        <w:t>Key Concepts &amp; Basis of the Theory</w:t>
      </w:r>
    </w:p>
    <w:p w14:paraId="3ACCF03F" w14:textId="77777777" w:rsidR="00A60DFD" w:rsidRPr="00A67E45" w:rsidRDefault="00A60DFD" w:rsidP="00A67E45">
      <w:pPr>
        <w:numPr>
          <w:ilvl w:val="0"/>
          <w:numId w:val="1"/>
        </w:numPr>
        <w:tabs>
          <w:tab w:val="left" w:pos="2694"/>
        </w:tabs>
        <w:spacing w:line="276" w:lineRule="auto"/>
        <w:jc w:val="both"/>
        <w:rPr>
          <w:rFonts w:ascii="Times New Roman" w:hAnsi="Times New Roman" w:cs="Times New Roman"/>
          <w:sz w:val="24"/>
          <w:szCs w:val="24"/>
        </w:rPr>
      </w:pPr>
      <w:r w:rsidRPr="00A67E45">
        <w:rPr>
          <w:rFonts w:ascii="Times New Roman" w:hAnsi="Times New Roman" w:cs="Times New Roman"/>
          <w:b/>
          <w:bCs/>
          <w:sz w:val="24"/>
          <w:szCs w:val="24"/>
        </w:rPr>
        <w:t>Diminishing Marginal Utility of Money</w:t>
      </w:r>
    </w:p>
    <w:p w14:paraId="45A72DA9" w14:textId="03273ADB" w:rsidR="00A60DFD" w:rsidRPr="00A67E45" w:rsidRDefault="00A60DFD" w:rsidP="00A67E45">
      <w:pPr>
        <w:tabs>
          <w:tab w:val="left" w:pos="2694"/>
        </w:tabs>
        <w:spacing w:line="276" w:lineRule="auto"/>
        <w:jc w:val="both"/>
        <w:rPr>
          <w:rFonts w:ascii="Times New Roman" w:hAnsi="Times New Roman" w:cs="Times New Roman"/>
          <w:sz w:val="24"/>
          <w:szCs w:val="24"/>
        </w:rPr>
      </w:pPr>
      <w:r w:rsidRPr="00A67E45">
        <w:rPr>
          <w:rFonts w:ascii="Times New Roman" w:hAnsi="Times New Roman" w:cs="Times New Roman"/>
          <w:sz w:val="24"/>
          <w:szCs w:val="24"/>
        </w:rPr>
        <w:t>The economic foundation of the theory relies on the concept that the utility (satisfaction or value) derived from each additional unit of currency decreases as wealth increases. For a high-income earner, a thousand dollars represents a smaller utility loss than it does for a low-income individual who relies on that same amount for essential living expenses.</w:t>
      </w:r>
    </w:p>
    <w:p w14:paraId="53652EBA" w14:textId="04405F17" w:rsidR="00A60DFD" w:rsidRPr="00A67E45" w:rsidRDefault="00A60DFD" w:rsidP="00A67E45">
      <w:pPr>
        <w:numPr>
          <w:ilvl w:val="0"/>
          <w:numId w:val="1"/>
        </w:numPr>
        <w:tabs>
          <w:tab w:val="left" w:pos="2694"/>
        </w:tabs>
        <w:spacing w:line="276" w:lineRule="auto"/>
        <w:jc w:val="both"/>
        <w:rPr>
          <w:rFonts w:ascii="Times New Roman" w:hAnsi="Times New Roman" w:cs="Times New Roman"/>
          <w:sz w:val="24"/>
          <w:szCs w:val="24"/>
        </w:rPr>
      </w:pPr>
      <w:r w:rsidRPr="00A67E45">
        <w:rPr>
          <w:rFonts w:ascii="Times New Roman" w:hAnsi="Times New Roman" w:cs="Times New Roman"/>
          <w:b/>
          <w:bCs/>
          <w:sz w:val="24"/>
          <w:szCs w:val="24"/>
        </w:rPr>
        <w:t>Equity and Social Justic</w:t>
      </w:r>
    </w:p>
    <w:p w14:paraId="024971E4" w14:textId="135F3F31" w:rsidR="00A60DFD" w:rsidRPr="00A67E45" w:rsidRDefault="00A60DFD" w:rsidP="00A67E45">
      <w:pPr>
        <w:numPr>
          <w:ilvl w:val="1"/>
          <w:numId w:val="1"/>
        </w:numPr>
        <w:tabs>
          <w:tab w:val="left" w:pos="2694"/>
        </w:tabs>
        <w:spacing w:line="276" w:lineRule="auto"/>
        <w:jc w:val="both"/>
        <w:rPr>
          <w:rFonts w:ascii="Times New Roman" w:hAnsi="Times New Roman" w:cs="Times New Roman"/>
          <w:sz w:val="24"/>
          <w:szCs w:val="24"/>
        </w:rPr>
      </w:pPr>
      <w:r w:rsidRPr="00A67E45">
        <w:rPr>
          <w:rFonts w:ascii="Times New Roman" w:hAnsi="Times New Roman" w:cs="Times New Roman"/>
          <w:b/>
          <w:bCs/>
          <w:sz w:val="24"/>
          <w:szCs w:val="24"/>
        </w:rPr>
        <w:t>Horizontal Equity:</w:t>
      </w:r>
      <w:r w:rsidRPr="00A67E45">
        <w:rPr>
          <w:rFonts w:ascii="Times New Roman" w:hAnsi="Times New Roman" w:cs="Times New Roman"/>
          <w:sz w:val="24"/>
          <w:szCs w:val="24"/>
        </w:rPr>
        <w:t xml:space="preserve"> Individuals with equal financial capacity (income, wealth, family burden) should pay equal amounts in tax.</w:t>
      </w:r>
    </w:p>
    <w:p w14:paraId="56A2F1E6" w14:textId="77777777" w:rsidR="00A60DFD" w:rsidRPr="00A67E45" w:rsidRDefault="00A60DFD" w:rsidP="00A67E45">
      <w:pPr>
        <w:numPr>
          <w:ilvl w:val="1"/>
          <w:numId w:val="1"/>
        </w:numPr>
        <w:tabs>
          <w:tab w:val="left" w:pos="2694"/>
        </w:tabs>
        <w:spacing w:line="276" w:lineRule="auto"/>
        <w:jc w:val="both"/>
        <w:rPr>
          <w:rFonts w:ascii="Times New Roman" w:hAnsi="Times New Roman" w:cs="Times New Roman"/>
          <w:sz w:val="24"/>
          <w:szCs w:val="24"/>
        </w:rPr>
      </w:pPr>
      <w:r w:rsidRPr="00A67E45">
        <w:rPr>
          <w:rFonts w:ascii="Times New Roman" w:hAnsi="Times New Roman" w:cs="Times New Roman"/>
          <w:b/>
          <w:bCs/>
          <w:sz w:val="24"/>
          <w:szCs w:val="24"/>
        </w:rPr>
        <w:t>Vertical Equity:</w:t>
      </w:r>
      <w:r w:rsidRPr="00A67E45">
        <w:rPr>
          <w:rFonts w:ascii="Times New Roman" w:hAnsi="Times New Roman" w:cs="Times New Roman"/>
          <w:sz w:val="24"/>
          <w:szCs w:val="24"/>
        </w:rPr>
        <w:t xml:space="preserve"> Individuals with greater financial capacity should pay progressively higher taxes than those with lower capacity.</w:t>
      </w:r>
    </w:p>
    <w:p w14:paraId="4426D5A1" w14:textId="77777777" w:rsidR="00A60DFD" w:rsidRPr="00A67E45" w:rsidRDefault="00A60DFD" w:rsidP="00A67E45">
      <w:pPr>
        <w:tabs>
          <w:tab w:val="left" w:pos="2694"/>
        </w:tabs>
        <w:spacing w:line="276" w:lineRule="auto"/>
        <w:jc w:val="both"/>
        <w:rPr>
          <w:rFonts w:ascii="Times New Roman" w:hAnsi="Times New Roman" w:cs="Times New Roman"/>
          <w:sz w:val="24"/>
          <w:szCs w:val="24"/>
        </w:rPr>
      </w:pPr>
    </w:p>
    <w:p w14:paraId="20DE6080" w14:textId="77777777" w:rsidR="00A60DFD" w:rsidRPr="00A67E45" w:rsidRDefault="00A60DFD" w:rsidP="00A67E45">
      <w:pPr>
        <w:tabs>
          <w:tab w:val="left" w:pos="2694"/>
        </w:tabs>
        <w:spacing w:line="276" w:lineRule="auto"/>
        <w:jc w:val="both"/>
        <w:rPr>
          <w:rFonts w:ascii="Times New Roman" w:hAnsi="Times New Roman" w:cs="Times New Roman"/>
          <w:b/>
          <w:bCs/>
          <w:sz w:val="24"/>
          <w:szCs w:val="24"/>
        </w:rPr>
      </w:pPr>
      <w:r w:rsidRPr="00A67E45">
        <w:rPr>
          <w:rFonts w:ascii="Times New Roman" w:hAnsi="Times New Roman" w:cs="Times New Roman"/>
          <w:b/>
          <w:bCs/>
          <w:sz w:val="24"/>
          <w:szCs w:val="24"/>
        </w:rPr>
        <w:t>Subjective Concepts of Sacrifice</w:t>
      </w:r>
    </w:p>
    <w:p w14:paraId="4E7DD048" w14:textId="253053BF" w:rsidR="00A60DFD" w:rsidRPr="00A67E45" w:rsidRDefault="00A60DFD" w:rsidP="00A67E45">
      <w:pPr>
        <w:tabs>
          <w:tab w:val="left" w:pos="2694"/>
        </w:tabs>
        <w:spacing w:line="276" w:lineRule="auto"/>
        <w:jc w:val="both"/>
        <w:rPr>
          <w:rFonts w:ascii="Times New Roman" w:hAnsi="Times New Roman" w:cs="Times New Roman"/>
          <w:sz w:val="24"/>
          <w:szCs w:val="24"/>
        </w:rPr>
      </w:pPr>
      <w:r w:rsidRPr="00A67E45">
        <w:rPr>
          <w:rFonts w:ascii="Times New Roman" w:hAnsi="Times New Roman" w:cs="Times New Roman"/>
          <w:sz w:val="24"/>
          <w:szCs w:val="24"/>
        </w:rPr>
        <w:t xml:space="preserve">Economists like J.S. Mill, F.Y. Edgeworth, and A.C. Pigou framed the ability-to-pay theory around the concept of </w:t>
      </w:r>
      <w:r w:rsidRPr="00A67E45">
        <w:rPr>
          <w:rFonts w:ascii="Times New Roman" w:hAnsi="Times New Roman" w:cs="Times New Roman"/>
          <w:b/>
          <w:bCs/>
          <w:sz w:val="24"/>
          <w:szCs w:val="24"/>
        </w:rPr>
        <w:t>equal sacrifice</w:t>
      </w:r>
      <w:r w:rsidRPr="00A67E45">
        <w:rPr>
          <w:rFonts w:ascii="Times New Roman" w:hAnsi="Times New Roman" w:cs="Times New Roman"/>
          <w:sz w:val="24"/>
          <w:szCs w:val="24"/>
        </w:rPr>
        <w:t>:</w:t>
      </w:r>
    </w:p>
    <w:p w14:paraId="2A75B6BD" w14:textId="47DD6B75" w:rsidR="00A60DFD" w:rsidRPr="00A67E45" w:rsidRDefault="00A60DFD" w:rsidP="00A67E45">
      <w:pPr>
        <w:numPr>
          <w:ilvl w:val="0"/>
          <w:numId w:val="2"/>
        </w:numPr>
        <w:tabs>
          <w:tab w:val="left" w:pos="2694"/>
        </w:tabs>
        <w:spacing w:line="276" w:lineRule="auto"/>
        <w:jc w:val="both"/>
        <w:rPr>
          <w:rFonts w:ascii="Times New Roman" w:hAnsi="Times New Roman" w:cs="Times New Roman"/>
          <w:sz w:val="24"/>
          <w:szCs w:val="24"/>
        </w:rPr>
      </w:pPr>
      <w:r w:rsidRPr="00A67E45">
        <w:rPr>
          <w:rFonts w:ascii="Times New Roman" w:hAnsi="Times New Roman" w:cs="Times New Roman"/>
          <w:b/>
          <w:bCs/>
          <w:sz w:val="24"/>
          <w:szCs w:val="24"/>
        </w:rPr>
        <w:t>Equal Absolute Sacrifice:</w:t>
      </w:r>
      <w:r w:rsidRPr="00A67E45">
        <w:rPr>
          <w:rFonts w:ascii="Times New Roman" w:hAnsi="Times New Roman" w:cs="Times New Roman"/>
          <w:sz w:val="24"/>
          <w:szCs w:val="24"/>
        </w:rPr>
        <w:t xml:space="preserve"> Each taxpayer surrenders the same absolute amount of total utility or satisfaction.</w:t>
      </w:r>
      <w:r w:rsidR="000B688E">
        <w:rPr>
          <w:rFonts w:ascii="Times New Roman" w:hAnsi="Times New Roman" w:cs="Times New Roman"/>
          <w:sz w:val="24"/>
          <w:szCs w:val="24"/>
        </w:rPr>
        <w:t xml:space="preserve"> In other words, t</w:t>
      </w:r>
      <w:r w:rsidR="000B688E" w:rsidRPr="000B688E">
        <w:rPr>
          <w:rFonts w:ascii="Times New Roman" w:hAnsi="Times New Roman" w:cs="Times New Roman"/>
          <w:sz w:val="24"/>
          <w:szCs w:val="24"/>
        </w:rPr>
        <w:t>he total units of happiness or satisfaction taken away by the tax must be equal for a poor person and a rich person.</w:t>
      </w:r>
    </w:p>
    <w:p w14:paraId="1AF9FE1C" w14:textId="6E8CC5C5" w:rsidR="00A60DFD" w:rsidRPr="00A67E45" w:rsidRDefault="00A60DFD" w:rsidP="00A67E45">
      <w:pPr>
        <w:numPr>
          <w:ilvl w:val="0"/>
          <w:numId w:val="2"/>
        </w:numPr>
        <w:tabs>
          <w:tab w:val="left" w:pos="2694"/>
        </w:tabs>
        <w:spacing w:line="276" w:lineRule="auto"/>
        <w:jc w:val="both"/>
        <w:rPr>
          <w:rFonts w:ascii="Times New Roman" w:hAnsi="Times New Roman" w:cs="Times New Roman"/>
          <w:sz w:val="24"/>
          <w:szCs w:val="24"/>
        </w:rPr>
      </w:pPr>
      <w:r w:rsidRPr="00A67E45">
        <w:rPr>
          <w:rFonts w:ascii="Times New Roman" w:hAnsi="Times New Roman" w:cs="Times New Roman"/>
          <w:b/>
          <w:bCs/>
          <w:sz w:val="24"/>
          <w:szCs w:val="24"/>
        </w:rPr>
        <w:t>Equal Proportional Sacrifice:</w:t>
      </w:r>
      <w:r w:rsidRPr="00A67E45">
        <w:rPr>
          <w:rFonts w:ascii="Times New Roman" w:hAnsi="Times New Roman" w:cs="Times New Roman"/>
          <w:sz w:val="24"/>
          <w:szCs w:val="24"/>
        </w:rPr>
        <w:t xml:space="preserve"> Each taxpayer surrenders the same proportion or percentage of their total utility.</w:t>
      </w:r>
      <w:r w:rsidR="000B688E">
        <w:rPr>
          <w:rFonts w:ascii="Times New Roman" w:hAnsi="Times New Roman" w:cs="Times New Roman"/>
          <w:sz w:val="24"/>
          <w:szCs w:val="24"/>
        </w:rPr>
        <w:t xml:space="preserve"> </w:t>
      </w:r>
      <w:r w:rsidR="000B688E" w:rsidRPr="000B688E">
        <w:rPr>
          <w:rFonts w:ascii="Times New Roman" w:hAnsi="Times New Roman" w:cs="Times New Roman"/>
          <w:sz w:val="24"/>
          <w:szCs w:val="24"/>
        </w:rPr>
        <w:t>Rather than taking an equal fixed amount of happiness, the government takes an equal fraction (e.g., 5% or 10%) of each person's overall well-being.</w:t>
      </w:r>
    </w:p>
    <w:p w14:paraId="342F0FCE" w14:textId="1F9B3EA9" w:rsidR="00A60DFD" w:rsidRPr="00A67E45" w:rsidRDefault="00A60DFD" w:rsidP="00A67E45">
      <w:pPr>
        <w:numPr>
          <w:ilvl w:val="0"/>
          <w:numId w:val="2"/>
        </w:numPr>
        <w:tabs>
          <w:tab w:val="left" w:pos="2694"/>
        </w:tabs>
        <w:spacing w:line="276" w:lineRule="auto"/>
        <w:jc w:val="both"/>
        <w:rPr>
          <w:rFonts w:ascii="Times New Roman" w:hAnsi="Times New Roman" w:cs="Times New Roman"/>
          <w:sz w:val="24"/>
          <w:szCs w:val="24"/>
        </w:rPr>
      </w:pPr>
      <w:r w:rsidRPr="00A67E45">
        <w:rPr>
          <w:rFonts w:ascii="Times New Roman" w:hAnsi="Times New Roman" w:cs="Times New Roman"/>
          <w:b/>
          <w:bCs/>
          <w:sz w:val="24"/>
          <w:szCs w:val="24"/>
        </w:rPr>
        <w:t>Equal Marginal (or Least Aggregate) Sacrifice:</w:t>
      </w:r>
      <w:r w:rsidRPr="00A67E45">
        <w:rPr>
          <w:rFonts w:ascii="Times New Roman" w:hAnsi="Times New Roman" w:cs="Times New Roman"/>
          <w:sz w:val="24"/>
          <w:szCs w:val="24"/>
        </w:rPr>
        <w:t xml:space="preserve"> Taxes are levied such that the marginal utility of income remaining after tax is equal across all taxpayers. This minimizes the collective sacrifice of society and serves as the economic foundation for progressive taxation.</w:t>
      </w:r>
    </w:p>
    <w:p w14:paraId="0C7E25A6" w14:textId="77777777" w:rsidR="00A60DFD" w:rsidRPr="00A67E45" w:rsidRDefault="00A60DFD" w:rsidP="00A67E45">
      <w:pPr>
        <w:tabs>
          <w:tab w:val="left" w:pos="2694"/>
        </w:tabs>
        <w:spacing w:line="276" w:lineRule="auto"/>
        <w:jc w:val="both"/>
        <w:rPr>
          <w:rFonts w:ascii="Times New Roman" w:hAnsi="Times New Roman" w:cs="Times New Roman"/>
          <w:b/>
          <w:bCs/>
          <w:sz w:val="24"/>
          <w:szCs w:val="24"/>
        </w:rPr>
      </w:pPr>
      <w:r w:rsidRPr="00A67E45">
        <w:rPr>
          <w:rFonts w:ascii="Times New Roman" w:hAnsi="Times New Roman" w:cs="Times New Roman"/>
          <w:b/>
          <w:bCs/>
          <w:sz w:val="24"/>
          <w:szCs w:val="24"/>
        </w:rPr>
        <w:t>Indices for Measuring Ability to Pay</w:t>
      </w:r>
    </w:p>
    <w:p w14:paraId="15124483" w14:textId="4E87050A" w:rsidR="00A60DFD" w:rsidRPr="00A67E45" w:rsidRDefault="00A60DFD" w:rsidP="00A67E45">
      <w:pPr>
        <w:tabs>
          <w:tab w:val="left" w:pos="2694"/>
        </w:tabs>
        <w:spacing w:line="276" w:lineRule="auto"/>
        <w:jc w:val="both"/>
        <w:rPr>
          <w:rFonts w:ascii="Times New Roman" w:hAnsi="Times New Roman" w:cs="Times New Roman"/>
          <w:sz w:val="24"/>
          <w:szCs w:val="24"/>
        </w:rPr>
      </w:pPr>
      <w:r w:rsidRPr="00A67E45">
        <w:rPr>
          <w:rFonts w:ascii="Times New Roman" w:hAnsi="Times New Roman" w:cs="Times New Roman"/>
          <w:sz w:val="24"/>
          <w:szCs w:val="24"/>
        </w:rPr>
        <w:t>Determining a taxpayer's actual capacity to pay requires objective indicators:</w:t>
      </w:r>
    </w:p>
    <w:p w14:paraId="057648AC" w14:textId="3CB689AA" w:rsidR="00A60DFD" w:rsidRPr="00A67E45" w:rsidRDefault="00A60DFD" w:rsidP="00A67E45">
      <w:pPr>
        <w:numPr>
          <w:ilvl w:val="0"/>
          <w:numId w:val="3"/>
        </w:numPr>
        <w:tabs>
          <w:tab w:val="left" w:pos="2694"/>
        </w:tabs>
        <w:spacing w:line="276" w:lineRule="auto"/>
        <w:jc w:val="both"/>
        <w:rPr>
          <w:rFonts w:ascii="Times New Roman" w:hAnsi="Times New Roman" w:cs="Times New Roman"/>
          <w:sz w:val="24"/>
          <w:szCs w:val="24"/>
        </w:rPr>
      </w:pPr>
      <w:r w:rsidRPr="00A67E45">
        <w:rPr>
          <w:rFonts w:ascii="Times New Roman" w:hAnsi="Times New Roman" w:cs="Times New Roman"/>
          <w:b/>
          <w:bCs/>
          <w:sz w:val="24"/>
          <w:szCs w:val="24"/>
        </w:rPr>
        <w:lastRenderedPageBreak/>
        <w:t>Income:</w:t>
      </w:r>
      <w:r w:rsidRPr="00A67E45">
        <w:rPr>
          <w:rFonts w:ascii="Times New Roman" w:hAnsi="Times New Roman" w:cs="Times New Roman"/>
          <w:sz w:val="24"/>
          <w:szCs w:val="24"/>
        </w:rPr>
        <w:t xml:space="preserve"> The most common and direct index. Higher income generally reflects a higher capacity to bear taxation.</w:t>
      </w:r>
    </w:p>
    <w:p w14:paraId="022577AF" w14:textId="24A16C9A" w:rsidR="00A60DFD" w:rsidRPr="00A67E45" w:rsidRDefault="00A60DFD" w:rsidP="00A67E45">
      <w:pPr>
        <w:numPr>
          <w:ilvl w:val="0"/>
          <w:numId w:val="3"/>
        </w:numPr>
        <w:tabs>
          <w:tab w:val="left" w:pos="2694"/>
        </w:tabs>
        <w:spacing w:line="276" w:lineRule="auto"/>
        <w:jc w:val="both"/>
        <w:rPr>
          <w:rFonts w:ascii="Times New Roman" w:hAnsi="Times New Roman" w:cs="Times New Roman"/>
          <w:sz w:val="24"/>
          <w:szCs w:val="24"/>
        </w:rPr>
      </w:pPr>
      <w:r w:rsidRPr="00A67E45">
        <w:rPr>
          <w:rFonts w:ascii="Times New Roman" w:hAnsi="Times New Roman" w:cs="Times New Roman"/>
          <w:b/>
          <w:bCs/>
          <w:sz w:val="24"/>
          <w:szCs w:val="24"/>
        </w:rPr>
        <w:t>Property / Wealth:</w:t>
      </w:r>
      <w:r w:rsidRPr="00A67E45">
        <w:rPr>
          <w:rFonts w:ascii="Times New Roman" w:hAnsi="Times New Roman" w:cs="Times New Roman"/>
          <w:sz w:val="24"/>
          <w:szCs w:val="24"/>
        </w:rPr>
        <w:t xml:space="preserve"> Accumulated assets (real estate, stocks, savings) indicate financial strength independent of annual income.</w:t>
      </w:r>
    </w:p>
    <w:p w14:paraId="726D1ADC" w14:textId="77777777" w:rsidR="00A60DFD" w:rsidRPr="00A67E45" w:rsidRDefault="00A60DFD" w:rsidP="00A67E45">
      <w:pPr>
        <w:numPr>
          <w:ilvl w:val="0"/>
          <w:numId w:val="3"/>
        </w:numPr>
        <w:tabs>
          <w:tab w:val="left" w:pos="2694"/>
        </w:tabs>
        <w:spacing w:line="276" w:lineRule="auto"/>
        <w:jc w:val="both"/>
        <w:rPr>
          <w:rFonts w:ascii="Times New Roman" w:hAnsi="Times New Roman" w:cs="Times New Roman"/>
          <w:sz w:val="24"/>
          <w:szCs w:val="24"/>
        </w:rPr>
      </w:pPr>
      <w:r w:rsidRPr="00A67E45">
        <w:rPr>
          <w:rFonts w:ascii="Times New Roman" w:hAnsi="Times New Roman" w:cs="Times New Roman"/>
          <w:b/>
          <w:bCs/>
          <w:sz w:val="24"/>
          <w:szCs w:val="24"/>
        </w:rPr>
        <w:t>Expenditure / Consumption:</w:t>
      </w:r>
      <w:r w:rsidRPr="00A67E45">
        <w:rPr>
          <w:rFonts w:ascii="Times New Roman" w:hAnsi="Times New Roman" w:cs="Times New Roman"/>
          <w:sz w:val="24"/>
          <w:szCs w:val="24"/>
        </w:rPr>
        <w:t xml:space="preserve"> Consuming luxury items indicates discretionary spending power, whereas basic goods consumption reflects minimum survival needs.</w:t>
      </w:r>
    </w:p>
    <w:p w14:paraId="3470D1D8" w14:textId="77777777" w:rsidR="00A60DFD" w:rsidRPr="00A67E45" w:rsidRDefault="00A60DFD" w:rsidP="00A67E45">
      <w:pPr>
        <w:tabs>
          <w:tab w:val="left" w:pos="2694"/>
        </w:tabs>
        <w:spacing w:line="276" w:lineRule="auto"/>
        <w:jc w:val="both"/>
        <w:rPr>
          <w:rFonts w:ascii="Times New Roman" w:hAnsi="Times New Roman" w:cs="Times New Roman"/>
          <w:sz w:val="24"/>
          <w:szCs w:val="24"/>
        </w:rPr>
      </w:pPr>
    </w:p>
    <w:p w14:paraId="7C086AF0" w14:textId="236B553C" w:rsidR="00954A74" w:rsidRPr="00A67E45" w:rsidRDefault="00954A74" w:rsidP="00A67E45">
      <w:pPr>
        <w:tabs>
          <w:tab w:val="left" w:pos="2694"/>
        </w:tabs>
        <w:spacing w:line="276" w:lineRule="auto"/>
        <w:jc w:val="both"/>
        <w:rPr>
          <w:rFonts w:ascii="Times New Roman" w:hAnsi="Times New Roman" w:cs="Times New Roman"/>
          <w:b/>
          <w:bCs/>
          <w:sz w:val="24"/>
          <w:szCs w:val="24"/>
        </w:rPr>
      </w:pPr>
      <w:r w:rsidRPr="00A67E45">
        <w:rPr>
          <w:rFonts w:ascii="Times New Roman" w:hAnsi="Times New Roman" w:cs="Times New Roman"/>
          <w:b/>
          <w:bCs/>
          <w:sz w:val="24"/>
          <w:szCs w:val="24"/>
        </w:rPr>
        <w:t>Advantages:</w:t>
      </w:r>
    </w:p>
    <w:p w14:paraId="231312B0" w14:textId="33D7C7DF" w:rsidR="00954A74" w:rsidRPr="00DD1DBC" w:rsidRDefault="00954A74" w:rsidP="00A67E45">
      <w:pPr>
        <w:tabs>
          <w:tab w:val="left" w:pos="2694"/>
        </w:tabs>
        <w:spacing w:line="276" w:lineRule="auto"/>
        <w:jc w:val="both"/>
        <w:rPr>
          <w:rFonts w:ascii="Times New Roman" w:hAnsi="Times New Roman" w:cs="Times New Roman"/>
          <w:sz w:val="24"/>
          <w:szCs w:val="24"/>
        </w:rPr>
      </w:pPr>
      <w:r w:rsidRPr="00DD1DBC">
        <w:rPr>
          <w:rFonts w:ascii="Times New Roman" w:hAnsi="Times New Roman" w:cs="Times New Roman"/>
          <w:sz w:val="24"/>
          <w:szCs w:val="24"/>
        </w:rPr>
        <w:t>Key Advantages of the Ability-To-Pay Theory of Taxation</w:t>
      </w:r>
      <w:r w:rsidR="00A67E45" w:rsidRPr="00DD1DBC">
        <w:rPr>
          <w:rFonts w:ascii="Times New Roman" w:hAnsi="Times New Roman" w:cs="Times New Roman"/>
          <w:sz w:val="24"/>
          <w:szCs w:val="24"/>
        </w:rPr>
        <w:t xml:space="preserve"> are discussed below:</w:t>
      </w:r>
    </w:p>
    <w:p w14:paraId="2DC0C221" w14:textId="77777777" w:rsidR="00954A74" w:rsidRPr="00A67E45" w:rsidRDefault="00954A74" w:rsidP="00A67E45">
      <w:pPr>
        <w:numPr>
          <w:ilvl w:val="0"/>
          <w:numId w:val="4"/>
        </w:numPr>
        <w:tabs>
          <w:tab w:val="left" w:pos="2694"/>
        </w:tabs>
        <w:spacing w:line="276" w:lineRule="auto"/>
        <w:jc w:val="both"/>
        <w:rPr>
          <w:rFonts w:ascii="Times New Roman" w:hAnsi="Times New Roman" w:cs="Times New Roman"/>
          <w:sz w:val="24"/>
          <w:szCs w:val="24"/>
        </w:rPr>
      </w:pPr>
      <w:r w:rsidRPr="00A67E45">
        <w:rPr>
          <w:rFonts w:ascii="Times New Roman" w:hAnsi="Times New Roman" w:cs="Times New Roman"/>
          <w:b/>
          <w:bCs/>
          <w:sz w:val="24"/>
          <w:szCs w:val="24"/>
        </w:rPr>
        <w:t>Promotes Social Equity and Fairness</w:t>
      </w:r>
    </w:p>
    <w:p w14:paraId="0D241587" w14:textId="77777777" w:rsidR="00954A74" w:rsidRPr="00A67E45" w:rsidRDefault="00954A74" w:rsidP="00A67E45">
      <w:pPr>
        <w:numPr>
          <w:ilvl w:val="1"/>
          <w:numId w:val="4"/>
        </w:numPr>
        <w:tabs>
          <w:tab w:val="left" w:pos="2694"/>
        </w:tabs>
        <w:spacing w:line="276" w:lineRule="auto"/>
        <w:jc w:val="both"/>
        <w:rPr>
          <w:rFonts w:ascii="Times New Roman" w:hAnsi="Times New Roman" w:cs="Times New Roman"/>
          <w:sz w:val="24"/>
          <w:szCs w:val="24"/>
        </w:rPr>
      </w:pPr>
      <w:r w:rsidRPr="00A67E45">
        <w:rPr>
          <w:rFonts w:ascii="Times New Roman" w:hAnsi="Times New Roman" w:cs="Times New Roman"/>
          <w:b/>
          <w:bCs/>
          <w:sz w:val="24"/>
          <w:szCs w:val="24"/>
        </w:rPr>
        <w:t>Vertical Equity:</w:t>
      </w:r>
      <w:r w:rsidRPr="00A67E45">
        <w:rPr>
          <w:rFonts w:ascii="Times New Roman" w:hAnsi="Times New Roman" w:cs="Times New Roman"/>
          <w:sz w:val="24"/>
          <w:szCs w:val="24"/>
        </w:rPr>
        <w:t xml:space="preserve"> It ensures that citizens who have a greater financial capacity bear a larger share of the tax burden, preventing lower-income groups from being disproportionately impacted by the cost of government operations.</w:t>
      </w:r>
    </w:p>
    <w:p w14:paraId="280F984C" w14:textId="5F8578B1" w:rsidR="00954A74" w:rsidRPr="00A67E45" w:rsidRDefault="00954A74" w:rsidP="00A67E45">
      <w:pPr>
        <w:numPr>
          <w:ilvl w:val="1"/>
          <w:numId w:val="4"/>
        </w:numPr>
        <w:tabs>
          <w:tab w:val="left" w:pos="2694"/>
        </w:tabs>
        <w:spacing w:line="276" w:lineRule="auto"/>
        <w:jc w:val="both"/>
        <w:rPr>
          <w:rFonts w:ascii="Times New Roman" w:hAnsi="Times New Roman" w:cs="Times New Roman"/>
          <w:sz w:val="24"/>
          <w:szCs w:val="24"/>
        </w:rPr>
      </w:pPr>
      <w:r w:rsidRPr="00A67E45">
        <w:rPr>
          <w:rFonts w:ascii="Times New Roman" w:hAnsi="Times New Roman" w:cs="Times New Roman"/>
          <w:b/>
          <w:bCs/>
          <w:sz w:val="24"/>
          <w:szCs w:val="24"/>
        </w:rPr>
        <w:t>Horizontal Equity:</w:t>
      </w:r>
      <w:r w:rsidRPr="00A67E45">
        <w:rPr>
          <w:rFonts w:ascii="Times New Roman" w:hAnsi="Times New Roman" w:cs="Times New Roman"/>
          <w:sz w:val="24"/>
          <w:szCs w:val="24"/>
        </w:rPr>
        <w:t xml:space="preserve"> Individuals with similar financial positions and income levels pay equal amounts, creating a standardized approach to tax liability.</w:t>
      </w:r>
    </w:p>
    <w:p w14:paraId="6651C96B" w14:textId="7210C8AA" w:rsidR="00954A74" w:rsidRPr="00A67E45" w:rsidRDefault="00954A74" w:rsidP="00A67E45">
      <w:pPr>
        <w:numPr>
          <w:ilvl w:val="0"/>
          <w:numId w:val="4"/>
        </w:numPr>
        <w:tabs>
          <w:tab w:val="left" w:pos="2694"/>
        </w:tabs>
        <w:spacing w:line="276" w:lineRule="auto"/>
        <w:jc w:val="both"/>
        <w:rPr>
          <w:rFonts w:ascii="Times New Roman" w:hAnsi="Times New Roman" w:cs="Times New Roman"/>
          <w:sz w:val="24"/>
          <w:szCs w:val="24"/>
        </w:rPr>
      </w:pPr>
      <w:r w:rsidRPr="00A67E45">
        <w:rPr>
          <w:rFonts w:ascii="Times New Roman" w:hAnsi="Times New Roman" w:cs="Times New Roman"/>
          <w:b/>
          <w:bCs/>
          <w:sz w:val="24"/>
          <w:szCs w:val="24"/>
        </w:rPr>
        <w:t>Reduces Wealth and Income Inequality</w:t>
      </w:r>
    </w:p>
    <w:p w14:paraId="726B4220" w14:textId="7E3BF618" w:rsidR="00954A74" w:rsidRPr="00A67E45" w:rsidRDefault="00954A74" w:rsidP="00A67E45">
      <w:pPr>
        <w:numPr>
          <w:ilvl w:val="1"/>
          <w:numId w:val="4"/>
        </w:numPr>
        <w:tabs>
          <w:tab w:val="left" w:pos="2694"/>
        </w:tabs>
        <w:spacing w:line="276" w:lineRule="auto"/>
        <w:jc w:val="both"/>
        <w:rPr>
          <w:rFonts w:ascii="Times New Roman" w:hAnsi="Times New Roman" w:cs="Times New Roman"/>
          <w:sz w:val="24"/>
          <w:szCs w:val="24"/>
        </w:rPr>
      </w:pPr>
      <w:r w:rsidRPr="00A67E45">
        <w:rPr>
          <w:rFonts w:ascii="Times New Roman" w:hAnsi="Times New Roman" w:cs="Times New Roman"/>
          <w:sz w:val="24"/>
          <w:szCs w:val="24"/>
        </w:rPr>
        <w:t>Progressive tax rates based on ability to pay collect higher revenue from wealthy individuals and corporations.</w:t>
      </w:r>
    </w:p>
    <w:p w14:paraId="548E979D" w14:textId="663046F5" w:rsidR="00954A74" w:rsidRPr="00A67E45" w:rsidRDefault="00954A74" w:rsidP="00A67E45">
      <w:pPr>
        <w:numPr>
          <w:ilvl w:val="1"/>
          <w:numId w:val="4"/>
        </w:numPr>
        <w:tabs>
          <w:tab w:val="left" w:pos="2694"/>
        </w:tabs>
        <w:spacing w:line="276" w:lineRule="auto"/>
        <w:jc w:val="both"/>
        <w:rPr>
          <w:rFonts w:ascii="Times New Roman" w:hAnsi="Times New Roman" w:cs="Times New Roman"/>
          <w:sz w:val="24"/>
          <w:szCs w:val="24"/>
        </w:rPr>
      </w:pPr>
      <w:r w:rsidRPr="00A67E45">
        <w:rPr>
          <w:rFonts w:ascii="Times New Roman" w:hAnsi="Times New Roman" w:cs="Times New Roman"/>
          <w:sz w:val="24"/>
          <w:szCs w:val="24"/>
        </w:rPr>
        <w:t>The proceeds can be redistributed into social welfare programs, healthcare, public education, and infrastructure projects that primarily benefit lower- and middle-income groups.</w:t>
      </w:r>
    </w:p>
    <w:p w14:paraId="2F99379C" w14:textId="2E24D9B2" w:rsidR="00954A74" w:rsidRPr="00A67E45" w:rsidRDefault="00954A74" w:rsidP="00A67E45">
      <w:pPr>
        <w:numPr>
          <w:ilvl w:val="0"/>
          <w:numId w:val="4"/>
        </w:numPr>
        <w:tabs>
          <w:tab w:val="left" w:pos="2694"/>
        </w:tabs>
        <w:spacing w:line="276" w:lineRule="auto"/>
        <w:jc w:val="both"/>
        <w:rPr>
          <w:rFonts w:ascii="Times New Roman" w:hAnsi="Times New Roman" w:cs="Times New Roman"/>
          <w:sz w:val="24"/>
          <w:szCs w:val="24"/>
        </w:rPr>
      </w:pPr>
      <w:r w:rsidRPr="00A67E45">
        <w:rPr>
          <w:rFonts w:ascii="Times New Roman" w:hAnsi="Times New Roman" w:cs="Times New Roman"/>
          <w:b/>
          <w:bCs/>
          <w:sz w:val="24"/>
          <w:szCs w:val="24"/>
        </w:rPr>
        <w:t>Aligns with Economic Utility Principles</w:t>
      </w:r>
    </w:p>
    <w:p w14:paraId="5B8DCE20" w14:textId="5992D30D" w:rsidR="00954A74" w:rsidRPr="00A67E45" w:rsidRDefault="00954A74" w:rsidP="00A67E45">
      <w:pPr>
        <w:numPr>
          <w:ilvl w:val="1"/>
          <w:numId w:val="4"/>
        </w:numPr>
        <w:tabs>
          <w:tab w:val="left" w:pos="2694"/>
        </w:tabs>
        <w:spacing w:line="276" w:lineRule="auto"/>
        <w:jc w:val="both"/>
        <w:rPr>
          <w:rFonts w:ascii="Times New Roman" w:hAnsi="Times New Roman" w:cs="Times New Roman"/>
          <w:sz w:val="24"/>
          <w:szCs w:val="24"/>
        </w:rPr>
      </w:pPr>
      <w:r w:rsidRPr="00A67E45">
        <w:rPr>
          <w:rFonts w:ascii="Times New Roman" w:hAnsi="Times New Roman" w:cs="Times New Roman"/>
          <w:sz w:val="24"/>
          <w:szCs w:val="24"/>
        </w:rPr>
        <w:t xml:space="preserve">It is grounded in the </w:t>
      </w:r>
      <w:r w:rsidRPr="00A67E45">
        <w:rPr>
          <w:rFonts w:ascii="Times New Roman" w:hAnsi="Times New Roman" w:cs="Times New Roman"/>
          <w:b/>
          <w:bCs/>
          <w:sz w:val="24"/>
          <w:szCs w:val="24"/>
        </w:rPr>
        <w:t>law of diminishing marginal utility of money</w:t>
      </w:r>
      <w:r w:rsidRPr="00A67E45">
        <w:rPr>
          <w:rFonts w:ascii="Times New Roman" w:hAnsi="Times New Roman" w:cs="Times New Roman"/>
          <w:sz w:val="24"/>
          <w:szCs w:val="24"/>
        </w:rPr>
        <w:t>, which recognizes that losing a dollar impacts a low-income individual's basic survival much more severely than it impacts a high-income individual's discretionary wealth.</w:t>
      </w:r>
    </w:p>
    <w:p w14:paraId="6A298D98" w14:textId="77777777" w:rsidR="00954A74" w:rsidRPr="00A67E45" w:rsidRDefault="00954A74" w:rsidP="00A67E45">
      <w:pPr>
        <w:numPr>
          <w:ilvl w:val="1"/>
          <w:numId w:val="4"/>
        </w:numPr>
        <w:tabs>
          <w:tab w:val="left" w:pos="2694"/>
        </w:tabs>
        <w:spacing w:line="276" w:lineRule="auto"/>
        <w:jc w:val="both"/>
        <w:rPr>
          <w:rFonts w:ascii="Times New Roman" w:hAnsi="Times New Roman" w:cs="Times New Roman"/>
          <w:sz w:val="24"/>
          <w:szCs w:val="24"/>
        </w:rPr>
      </w:pPr>
      <w:r w:rsidRPr="00A67E45">
        <w:rPr>
          <w:rFonts w:ascii="Times New Roman" w:hAnsi="Times New Roman" w:cs="Times New Roman"/>
          <w:sz w:val="24"/>
          <w:szCs w:val="24"/>
        </w:rPr>
        <w:t>Taxing based on ability to pay aims to equalize the subjective "sacrifice" across all taxpayers.</w:t>
      </w:r>
    </w:p>
    <w:p w14:paraId="225B1EF7" w14:textId="3D07EAAB" w:rsidR="00954A74" w:rsidRPr="00A67E45" w:rsidRDefault="00954A74" w:rsidP="00A67E45">
      <w:pPr>
        <w:numPr>
          <w:ilvl w:val="0"/>
          <w:numId w:val="4"/>
        </w:numPr>
        <w:tabs>
          <w:tab w:val="left" w:pos="2694"/>
        </w:tabs>
        <w:spacing w:line="276" w:lineRule="auto"/>
        <w:jc w:val="both"/>
        <w:rPr>
          <w:rFonts w:ascii="Times New Roman" w:hAnsi="Times New Roman" w:cs="Times New Roman"/>
          <w:sz w:val="24"/>
          <w:szCs w:val="24"/>
        </w:rPr>
      </w:pPr>
      <w:r w:rsidRPr="00A67E45">
        <w:rPr>
          <w:rFonts w:ascii="Times New Roman" w:hAnsi="Times New Roman" w:cs="Times New Roman"/>
          <w:b/>
          <w:bCs/>
          <w:sz w:val="24"/>
          <w:szCs w:val="24"/>
        </w:rPr>
        <w:t>Economic and Social Stability</w:t>
      </w:r>
    </w:p>
    <w:p w14:paraId="029F16A6" w14:textId="2A4F3DF0" w:rsidR="00954A74" w:rsidRPr="00A67E45" w:rsidRDefault="00954A74" w:rsidP="00A67E45">
      <w:pPr>
        <w:numPr>
          <w:ilvl w:val="1"/>
          <w:numId w:val="4"/>
        </w:numPr>
        <w:tabs>
          <w:tab w:val="left" w:pos="2694"/>
        </w:tabs>
        <w:spacing w:line="276" w:lineRule="auto"/>
        <w:jc w:val="both"/>
        <w:rPr>
          <w:rFonts w:ascii="Times New Roman" w:hAnsi="Times New Roman" w:cs="Times New Roman"/>
          <w:sz w:val="24"/>
          <w:szCs w:val="24"/>
        </w:rPr>
      </w:pPr>
      <w:r w:rsidRPr="00A67E45">
        <w:rPr>
          <w:rFonts w:ascii="Times New Roman" w:hAnsi="Times New Roman" w:cs="Times New Roman"/>
          <w:sz w:val="24"/>
          <w:szCs w:val="24"/>
        </w:rPr>
        <w:t>Protecting lower-income households from heavy tax burdens preserves their purchasing power for basic necessities (food, housing, goods), maintaining baseline consumer demand and domestic economic stability.</w:t>
      </w:r>
    </w:p>
    <w:p w14:paraId="2C348771" w14:textId="77777777" w:rsidR="00954A74" w:rsidRPr="00A67E45" w:rsidRDefault="00954A74" w:rsidP="00A67E45">
      <w:pPr>
        <w:numPr>
          <w:ilvl w:val="1"/>
          <w:numId w:val="4"/>
        </w:numPr>
        <w:tabs>
          <w:tab w:val="left" w:pos="2694"/>
        </w:tabs>
        <w:spacing w:line="276" w:lineRule="auto"/>
        <w:jc w:val="both"/>
        <w:rPr>
          <w:rFonts w:ascii="Times New Roman" w:hAnsi="Times New Roman" w:cs="Times New Roman"/>
          <w:sz w:val="24"/>
          <w:szCs w:val="24"/>
        </w:rPr>
      </w:pPr>
      <w:r w:rsidRPr="00A67E45">
        <w:rPr>
          <w:rFonts w:ascii="Times New Roman" w:hAnsi="Times New Roman" w:cs="Times New Roman"/>
          <w:sz w:val="24"/>
          <w:szCs w:val="24"/>
        </w:rPr>
        <w:t>It fosters social cohesion by demonstrating that public burden is shared equitably according to capacity.</w:t>
      </w:r>
    </w:p>
    <w:p w14:paraId="3DB64FE2" w14:textId="77777777" w:rsidR="00DD1DBC" w:rsidRDefault="00DD1DBC" w:rsidP="00A67E45">
      <w:pPr>
        <w:tabs>
          <w:tab w:val="left" w:pos="2694"/>
        </w:tabs>
        <w:spacing w:line="276" w:lineRule="auto"/>
        <w:jc w:val="both"/>
        <w:rPr>
          <w:rFonts w:ascii="Times New Roman" w:hAnsi="Times New Roman" w:cs="Times New Roman"/>
          <w:b/>
          <w:bCs/>
          <w:sz w:val="24"/>
          <w:szCs w:val="24"/>
        </w:rPr>
      </w:pPr>
    </w:p>
    <w:p w14:paraId="23B268AE" w14:textId="63AEA329" w:rsidR="00954A74" w:rsidRPr="00A67E45" w:rsidRDefault="00D90114" w:rsidP="00A67E45">
      <w:pPr>
        <w:tabs>
          <w:tab w:val="left" w:pos="2694"/>
        </w:tabs>
        <w:spacing w:line="276" w:lineRule="auto"/>
        <w:jc w:val="both"/>
        <w:rPr>
          <w:rFonts w:ascii="Times New Roman" w:hAnsi="Times New Roman" w:cs="Times New Roman"/>
          <w:b/>
          <w:bCs/>
          <w:sz w:val="24"/>
          <w:szCs w:val="24"/>
        </w:rPr>
      </w:pPr>
      <w:r w:rsidRPr="00A67E45">
        <w:rPr>
          <w:rFonts w:ascii="Times New Roman" w:hAnsi="Times New Roman" w:cs="Times New Roman"/>
          <w:b/>
          <w:bCs/>
          <w:sz w:val="24"/>
          <w:szCs w:val="24"/>
        </w:rPr>
        <w:lastRenderedPageBreak/>
        <w:t>Disadvantages:</w:t>
      </w:r>
    </w:p>
    <w:p w14:paraId="1CBFA123" w14:textId="7673E142" w:rsidR="00A67E45" w:rsidRPr="00DD1DBC" w:rsidRDefault="00A67E45" w:rsidP="00A67E45">
      <w:pPr>
        <w:tabs>
          <w:tab w:val="left" w:pos="2694"/>
        </w:tabs>
        <w:spacing w:line="276" w:lineRule="auto"/>
        <w:jc w:val="both"/>
        <w:rPr>
          <w:rFonts w:ascii="Times New Roman" w:hAnsi="Times New Roman" w:cs="Times New Roman"/>
          <w:sz w:val="24"/>
          <w:szCs w:val="24"/>
        </w:rPr>
      </w:pPr>
      <w:r w:rsidRPr="00DD1DBC">
        <w:rPr>
          <w:rFonts w:ascii="Times New Roman" w:hAnsi="Times New Roman" w:cs="Times New Roman"/>
          <w:sz w:val="24"/>
          <w:szCs w:val="24"/>
        </w:rPr>
        <w:t>Key Disadvantages and Criticisms of the Ability-To-Pay Theory are as follows:</w:t>
      </w:r>
    </w:p>
    <w:p w14:paraId="48D9D9D0" w14:textId="594B6A5E" w:rsidR="00A67E45" w:rsidRPr="00A67E45" w:rsidRDefault="00A67E45" w:rsidP="00A67E45">
      <w:pPr>
        <w:numPr>
          <w:ilvl w:val="0"/>
          <w:numId w:val="5"/>
        </w:numPr>
        <w:tabs>
          <w:tab w:val="left" w:pos="2694"/>
        </w:tabs>
        <w:spacing w:line="276" w:lineRule="auto"/>
        <w:jc w:val="both"/>
        <w:rPr>
          <w:rFonts w:ascii="Times New Roman" w:hAnsi="Times New Roman" w:cs="Times New Roman"/>
          <w:sz w:val="24"/>
          <w:szCs w:val="24"/>
        </w:rPr>
      </w:pPr>
      <w:r w:rsidRPr="00A67E45">
        <w:rPr>
          <w:rFonts w:ascii="Times New Roman" w:hAnsi="Times New Roman" w:cs="Times New Roman"/>
          <w:b/>
          <w:bCs/>
          <w:sz w:val="24"/>
          <w:szCs w:val="24"/>
        </w:rPr>
        <w:t>Subjective Nature of "Sacrifice" and Utility</w:t>
      </w:r>
    </w:p>
    <w:p w14:paraId="6885E231" w14:textId="77777777" w:rsidR="00A67E45" w:rsidRPr="00A67E45" w:rsidRDefault="00A67E45" w:rsidP="00A67E45">
      <w:pPr>
        <w:numPr>
          <w:ilvl w:val="1"/>
          <w:numId w:val="5"/>
        </w:numPr>
        <w:tabs>
          <w:tab w:val="left" w:pos="2694"/>
        </w:tabs>
        <w:spacing w:line="276" w:lineRule="auto"/>
        <w:jc w:val="both"/>
        <w:rPr>
          <w:rFonts w:ascii="Times New Roman" w:hAnsi="Times New Roman" w:cs="Times New Roman"/>
          <w:sz w:val="24"/>
          <w:szCs w:val="24"/>
        </w:rPr>
      </w:pPr>
      <w:r w:rsidRPr="00A67E45">
        <w:rPr>
          <w:rFonts w:ascii="Times New Roman" w:hAnsi="Times New Roman" w:cs="Times New Roman"/>
          <w:b/>
          <w:bCs/>
          <w:sz w:val="24"/>
          <w:szCs w:val="24"/>
        </w:rPr>
        <w:t>Unmeasurable Utility:</w:t>
      </w:r>
      <w:r w:rsidRPr="00A67E45">
        <w:rPr>
          <w:rFonts w:ascii="Times New Roman" w:hAnsi="Times New Roman" w:cs="Times New Roman"/>
          <w:sz w:val="24"/>
          <w:szCs w:val="24"/>
        </w:rPr>
        <w:t xml:space="preserve"> The theory heavily relies on the concept of utility and the diminishing marginal utility of money, but utility is a subjective, psychological concept. It is practically impossible to calculate or compare the exact utility or sacrifice of money between two different individuals.</w:t>
      </w:r>
    </w:p>
    <w:p w14:paraId="5E814264" w14:textId="7775C5BC" w:rsidR="00A67E45" w:rsidRPr="00A67E45" w:rsidRDefault="00A67E45" w:rsidP="00A67E45">
      <w:pPr>
        <w:numPr>
          <w:ilvl w:val="0"/>
          <w:numId w:val="5"/>
        </w:numPr>
        <w:tabs>
          <w:tab w:val="left" w:pos="2694"/>
        </w:tabs>
        <w:spacing w:line="276" w:lineRule="auto"/>
        <w:jc w:val="both"/>
        <w:rPr>
          <w:rFonts w:ascii="Times New Roman" w:hAnsi="Times New Roman" w:cs="Times New Roman"/>
          <w:sz w:val="24"/>
          <w:szCs w:val="24"/>
        </w:rPr>
      </w:pPr>
      <w:r w:rsidRPr="00A67E45">
        <w:rPr>
          <w:rFonts w:ascii="Times New Roman" w:hAnsi="Times New Roman" w:cs="Times New Roman"/>
          <w:b/>
          <w:bCs/>
          <w:sz w:val="24"/>
          <w:szCs w:val="24"/>
        </w:rPr>
        <w:t>Disincentive to Work, Save, and Invest</w:t>
      </w:r>
    </w:p>
    <w:p w14:paraId="1FDCD677" w14:textId="77777777" w:rsidR="00A67E45" w:rsidRPr="00A67E45" w:rsidRDefault="00A67E45" w:rsidP="00A67E45">
      <w:pPr>
        <w:numPr>
          <w:ilvl w:val="1"/>
          <w:numId w:val="5"/>
        </w:numPr>
        <w:tabs>
          <w:tab w:val="left" w:pos="2694"/>
        </w:tabs>
        <w:spacing w:line="276" w:lineRule="auto"/>
        <w:jc w:val="both"/>
        <w:rPr>
          <w:rFonts w:ascii="Times New Roman" w:hAnsi="Times New Roman" w:cs="Times New Roman"/>
          <w:sz w:val="24"/>
          <w:szCs w:val="24"/>
        </w:rPr>
      </w:pPr>
      <w:r w:rsidRPr="00A67E45">
        <w:rPr>
          <w:rFonts w:ascii="Times New Roman" w:hAnsi="Times New Roman" w:cs="Times New Roman"/>
          <w:sz w:val="24"/>
          <w:szCs w:val="24"/>
        </w:rPr>
        <w:t>High marginal tax rates on high earners can reduce the financial incentive for skilled professionals, entrepreneurs, and investors to expand businesses, work extra hours, or take economic risks.</w:t>
      </w:r>
    </w:p>
    <w:p w14:paraId="4B0519AB" w14:textId="77777777" w:rsidR="00A67E45" w:rsidRPr="00A67E45" w:rsidRDefault="00A67E45" w:rsidP="00A67E45">
      <w:pPr>
        <w:numPr>
          <w:ilvl w:val="0"/>
          <w:numId w:val="5"/>
        </w:numPr>
        <w:tabs>
          <w:tab w:val="left" w:pos="2694"/>
        </w:tabs>
        <w:spacing w:line="276" w:lineRule="auto"/>
        <w:jc w:val="both"/>
        <w:rPr>
          <w:rFonts w:ascii="Times New Roman" w:hAnsi="Times New Roman" w:cs="Times New Roman"/>
          <w:sz w:val="24"/>
          <w:szCs w:val="24"/>
        </w:rPr>
      </w:pPr>
      <w:r w:rsidRPr="00A67E45">
        <w:rPr>
          <w:rFonts w:ascii="Times New Roman" w:hAnsi="Times New Roman" w:cs="Times New Roman"/>
          <w:b/>
          <w:bCs/>
          <w:sz w:val="24"/>
          <w:szCs w:val="24"/>
        </w:rPr>
        <w:t>Risk of Tax Evasion, Avoidance, and Capital Flight</w:t>
      </w:r>
    </w:p>
    <w:p w14:paraId="01F8A9A0" w14:textId="77777777" w:rsidR="00A67E45" w:rsidRPr="00A67E45" w:rsidRDefault="00A67E45" w:rsidP="00A67E45">
      <w:pPr>
        <w:numPr>
          <w:ilvl w:val="1"/>
          <w:numId w:val="5"/>
        </w:numPr>
        <w:tabs>
          <w:tab w:val="left" w:pos="2694"/>
        </w:tabs>
        <w:spacing w:line="276" w:lineRule="auto"/>
        <w:jc w:val="both"/>
        <w:rPr>
          <w:rFonts w:ascii="Times New Roman" w:hAnsi="Times New Roman" w:cs="Times New Roman"/>
          <w:sz w:val="24"/>
          <w:szCs w:val="24"/>
        </w:rPr>
      </w:pPr>
      <w:r w:rsidRPr="00A67E45">
        <w:rPr>
          <w:rFonts w:ascii="Times New Roman" w:hAnsi="Times New Roman" w:cs="Times New Roman"/>
          <w:sz w:val="24"/>
          <w:szCs w:val="24"/>
        </w:rPr>
        <w:t>As tax rates increase progressively with income, high earners have a stronger financial incentive to seek legal tax loopholes, shift assets to tax havens, or engage in illegal tax evasion.</w:t>
      </w:r>
    </w:p>
    <w:p w14:paraId="2262A165" w14:textId="77777777" w:rsidR="00A67E45" w:rsidRPr="00A67E45" w:rsidRDefault="00A67E45" w:rsidP="00A67E45">
      <w:pPr>
        <w:numPr>
          <w:ilvl w:val="1"/>
          <w:numId w:val="5"/>
        </w:numPr>
        <w:tabs>
          <w:tab w:val="left" w:pos="2694"/>
        </w:tabs>
        <w:spacing w:line="276" w:lineRule="auto"/>
        <w:jc w:val="both"/>
        <w:rPr>
          <w:rFonts w:ascii="Times New Roman" w:hAnsi="Times New Roman" w:cs="Times New Roman"/>
          <w:sz w:val="24"/>
          <w:szCs w:val="24"/>
        </w:rPr>
      </w:pPr>
      <w:r w:rsidRPr="00A67E45">
        <w:rPr>
          <w:rFonts w:ascii="Times New Roman" w:hAnsi="Times New Roman" w:cs="Times New Roman"/>
          <w:sz w:val="24"/>
          <w:szCs w:val="24"/>
        </w:rPr>
        <w:t>Severe tax burdens on corporations and wealthy individuals can result in capital flight, where investments, businesses, and talent migrate to countries with lower tax rates.</w:t>
      </w:r>
    </w:p>
    <w:p w14:paraId="09B0D736" w14:textId="6CD36B3F" w:rsidR="00A67E45" w:rsidRPr="00A67E45" w:rsidRDefault="00A67E45" w:rsidP="00A67E45">
      <w:pPr>
        <w:numPr>
          <w:ilvl w:val="0"/>
          <w:numId w:val="5"/>
        </w:numPr>
        <w:tabs>
          <w:tab w:val="left" w:pos="2694"/>
        </w:tabs>
        <w:spacing w:line="276" w:lineRule="auto"/>
        <w:jc w:val="both"/>
        <w:rPr>
          <w:rFonts w:ascii="Times New Roman" w:hAnsi="Times New Roman" w:cs="Times New Roman"/>
          <w:sz w:val="24"/>
          <w:szCs w:val="24"/>
        </w:rPr>
      </w:pPr>
      <w:r w:rsidRPr="00A67E45">
        <w:rPr>
          <w:rFonts w:ascii="Times New Roman" w:hAnsi="Times New Roman" w:cs="Times New Roman"/>
          <w:b/>
          <w:bCs/>
          <w:sz w:val="24"/>
          <w:szCs w:val="24"/>
        </w:rPr>
        <w:t>Ignores Individual Circumstances</w:t>
      </w:r>
    </w:p>
    <w:p w14:paraId="1E873389" w14:textId="77777777" w:rsidR="00A67E45" w:rsidRPr="00A67E45" w:rsidRDefault="00A67E45" w:rsidP="00A67E45">
      <w:pPr>
        <w:numPr>
          <w:ilvl w:val="1"/>
          <w:numId w:val="5"/>
        </w:numPr>
        <w:tabs>
          <w:tab w:val="left" w:pos="2694"/>
        </w:tabs>
        <w:spacing w:line="276" w:lineRule="auto"/>
        <w:jc w:val="both"/>
        <w:rPr>
          <w:rFonts w:ascii="Times New Roman" w:hAnsi="Times New Roman" w:cs="Times New Roman"/>
          <w:sz w:val="24"/>
          <w:szCs w:val="24"/>
        </w:rPr>
      </w:pPr>
      <w:r w:rsidRPr="00A67E45">
        <w:rPr>
          <w:rFonts w:ascii="Times New Roman" w:hAnsi="Times New Roman" w:cs="Times New Roman"/>
          <w:sz w:val="24"/>
          <w:szCs w:val="24"/>
        </w:rPr>
        <w:t>Measuring ability to pay purely by gross income or total wealth fails to capture a taxpayer's actual financial burden.</w:t>
      </w:r>
    </w:p>
    <w:p w14:paraId="3CDDC3DC" w14:textId="77777777" w:rsidR="00A67E45" w:rsidRPr="00A67E45" w:rsidRDefault="00A67E45" w:rsidP="00A67E45">
      <w:pPr>
        <w:numPr>
          <w:ilvl w:val="1"/>
          <w:numId w:val="5"/>
        </w:numPr>
        <w:tabs>
          <w:tab w:val="left" w:pos="2694"/>
        </w:tabs>
        <w:spacing w:line="276" w:lineRule="auto"/>
        <w:jc w:val="both"/>
        <w:rPr>
          <w:rFonts w:ascii="Times New Roman" w:hAnsi="Times New Roman" w:cs="Times New Roman"/>
          <w:sz w:val="24"/>
          <w:szCs w:val="24"/>
        </w:rPr>
      </w:pPr>
      <w:r w:rsidRPr="00A67E45">
        <w:rPr>
          <w:rFonts w:ascii="Times New Roman" w:hAnsi="Times New Roman" w:cs="Times New Roman"/>
          <w:sz w:val="24"/>
          <w:szCs w:val="24"/>
        </w:rPr>
        <w:t>Two individuals earning the exact same income may have vastly different financial capacities due to personal factors like medical expenses, family dependents, debt obligations, or regional cost-of-living differences.</w:t>
      </w:r>
    </w:p>
    <w:p w14:paraId="22AF9475" w14:textId="77777777" w:rsidR="00A67E45" w:rsidRPr="00A67E45" w:rsidRDefault="00A67E45" w:rsidP="00A67E45">
      <w:pPr>
        <w:tabs>
          <w:tab w:val="left" w:pos="2694"/>
        </w:tabs>
        <w:spacing w:line="276" w:lineRule="auto"/>
        <w:jc w:val="both"/>
        <w:rPr>
          <w:rFonts w:ascii="Times New Roman" w:hAnsi="Times New Roman" w:cs="Times New Roman"/>
          <w:sz w:val="24"/>
          <w:szCs w:val="24"/>
        </w:rPr>
      </w:pPr>
    </w:p>
    <w:p w14:paraId="7E63F875" w14:textId="2D08357B" w:rsidR="00A67E45" w:rsidRPr="00A67E45" w:rsidRDefault="00A67E45" w:rsidP="00A67E45">
      <w:pPr>
        <w:tabs>
          <w:tab w:val="left" w:pos="2694"/>
        </w:tabs>
        <w:spacing w:line="276" w:lineRule="auto"/>
        <w:ind w:left="1440"/>
        <w:jc w:val="center"/>
        <w:rPr>
          <w:rFonts w:ascii="Times New Roman" w:hAnsi="Times New Roman" w:cs="Times New Roman"/>
          <w:sz w:val="24"/>
          <w:szCs w:val="24"/>
        </w:rPr>
      </w:pPr>
      <w:r w:rsidRPr="00A67E45">
        <w:rPr>
          <w:rFonts w:ascii="Times New Roman" w:hAnsi="Times New Roman" w:cs="Times New Roman"/>
          <w:sz w:val="24"/>
          <w:szCs w:val="24"/>
        </w:rPr>
        <w:t>****</w:t>
      </w:r>
    </w:p>
    <w:p w14:paraId="29B1446E" w14:textId="77777777" w:rsidR="00D90114" w:rsidRPr="00A67E45" w:rsidRDefault="00D90114" w:rsidP="00A67E45">
      <w:pPr>
        <w:tabs>
          <w:tab w:val="left" w:pos="2694"/>
        </w:tabs>
        <w:spacing w:line="276" w:lineRule="auto"/>
        <w:jc w:val="both"/>
        <w:rPr>
          <w:rFonts w:ascii="Times New Roman" w:hAnsi="Times New Roman" w:cs="Times New Roman"/>
          <w:sz w:val="24"/>
          <w:szCs w:val="24"/>
        </w:rPr>
      </w:pPr>
    </w:p>
    <w:sectPr w:rsidR="00D90114" w:rsidRPr="00A67E45">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369B33" w14:textId="77777777" w:rsidR="00926F68" w:rsidRDefault="00926F68" w:rsidP="00954A74">
      <w:pPr>
        <w:spacing w:after="0" w:line="240" w:lineRule="auto"/>
      </w:pPr>
      <w:r>
        <w:separator/>
      </w:r>
    </w:p>
  </w:endnote>
  <w:endnote w:type="continuationSeparator" w:id="0">
    <w:p w14:paraId="11D45DB8" w14:textId="77777777" w:rsidR="00926F68" w:rsidRDefault="00926F68" w:rsidP="00954A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EEFF25" w14:textId="77777777" w:rsidR="00926F68" w:rsidRDefault="00926F68" w:rsidP="00954A74">
      <w:pPr>
        <w:spacing w:after="0" w:line="240" w:lineRule="auto"/>
      </w:pPr>
      <w:r>
        <w:separator/>
      </w:r>
    </w:p>
  </w:footnote>
  <w:footnote w:type="continuationSeparator" w:id="0">
    <w:p w14:paraId="599732E7" w14:textId="77777777" w:rsidR="00926F68" w:rsidRDefault="00926F68" w:rsidP="00954A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2032543"/>
      <w:docPartObj>
        <w:docPartGallery w:val="Page Numbers (Top of Page)"/>
        <w:docPartUnique/>
      </w:docPartObj>
    </w:sdtPr>
    <w:sdtEndPr>
      <w:rPr>
        <w:noProof/>
      </w:rPr>
    </w:sdtEndPr>
    <w:sdtContent>
      <w:p w14:paraId="0029FF77" w14:textId="73213310" w:rsidR="00954A74" w:rsidRDefault="00954A74">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AF81E48" w14:textId="77777777" w:rsidR="00954A74" w:rsidRDefault="00954A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21BC1"/>
    <w:multiLevelType w:val="multilevel"/>
    <w:tmpl w:val="FC5A927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0D333F"/>
    <w:multiLevelType w:val="multilevel"/>
    <w:tmpl w:val="912236E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06A3FF0"/>
    <w:multiLevelType w:val="multilevel"/>
    <w:tmpl w:val="1AF0ABC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2151F3D"/>
    <w:multiLevelType w:val="multilevel"/>
    <w:tmpl w:val="3E78E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5C45670"/>
    <w:multiLevelType w:val="multilevel"/>
    <w:tmpl w:val="A17EE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45617052">
    <w:abstractNumId w:val="2"/>
  </w:num>
  <w:num w:numId="2" w16cid:durableId="157578232">
    <w:abstractNumId w:val="4"/>
  </w:num>
  <w:num w:numId="3" w16cid:durableId="2025015798">
    <w:abstractNumId w:val="3"/>
  </w:num>
  <w:num w:numId="4" w16cid:durableId="1413887581">
    <w:abstractNumId w:val="1"/>
  </w:num>
  <w:num w:numId="5" w16cid:durableId="15932042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DD3"/>
    <w:rsid w:val="00050A5C"/>
    <w:rsid w:val="000B688E"/>
    <w:rsid w:val="00164DB9"/>
    <w:rsid w:val="005070DE"/>
    <w:rsid w:val="005166FA"/>
    <w:rsid w:val="007B6A90"/>
    <w:rsid w:val="00911DD3"/>
    <w:rsid w:val="00926F68"/>
    <w:rsid w:val="00954A74"/>
    <w:rsid w:val="009D5C4F"/>
    <w:rsid w:val="00A60DFD"/>
    <w:rsid w:val="00A67E45"/>
    <w:rsid w:val="00AA738E"/>
    <w:rsid w:val="00D90114"/>
    <w:rsid w:val="00DD1DB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59B7F"/>
  <w15:chartTrackingRefBased/>
  <w15:docId w15:val="{D7EB5977-5DC7-4969-A60E-DCB545F98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1D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11D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11DD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1DD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1DD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1DD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1D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1DD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1DD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1DD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1DD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1DD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1DD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1DD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1D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1D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1D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1DD3"/>
    <w:rPr>
      <w:rFonts w:eastAsiaTheme="majorEastAsia" w:cstheme="majorBidi"/>
      <w:color w:val="272727" w:themeColor="text1" w:themeTint="D8"/>
    </w:rPr>
  </w:style>
  <w:style w:type="paragraph" w:styleId="Title">
    <w:name w:val="Title"/>
    <w:basedOn w:val="Normal"/>
    <w:next w:val="Normal"/>
    <w:link w:val="TitleChar"/>
    <w:uiPriority w:val="10"/>
    <w:qFormat/>
    <w:rsid w:val="00911D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1D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1DD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1D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1DD3"/>
    <w:pPr>
      <w:spacing w:before="160"/>
      <w:jc w:val="center"/>
    </w:pPr>
    <w:rPr>
      <w:i/>
      <w:iCs/>
      <w:color w:val="404040" w:themeColor="text1" w:themeTint="BF"/>
    </w:rPr>
  </w:style>
  <w:style w:type="character" w:customStyle="1" w:styleId="QuoteChar">
    <w:name w:val="Quote Char"/>
    <w:basedOn w:val="DefaultParagraphFont"/>
    <w:link w:val="Quote"/>
    <w:uiPriority w:val="29"/>
    <w:rsid w:val="00911DD3"/>
    <w:rPr>
      <w:i/>
      <w:iCs/>
      <w:color w:val="404040" w:themeColor="text1" w:themeTint="BF"/>
    </w:rPr>
  </w:style>
  <w:style w:type="paragraph" w:styleId="ListParagraph">
    <w:name w:val="List Paragraph"/>
    <w:basedOn w:val="Normal"/>
    <w:uiPriority w:val="34"/>
    <w:qFormat/>
    <w:rsid w:val="00911DD3"/>
    <w:pPr>
      <w:ind w:left="720"/>
      <w:contextualSpacing/>
    </w:pPr>
  </w:style>
  <w:style w:type="character" w:styleId="IntenseEmphasis">
    <w:name w:val="Intense Emphasis"/>
    <w:basedOn w:val="DefaultParagraphFont"/>
    <w:uiPriority w:val="21"/>
    <w:qFormat/>
    <w:rsid w:val="00911DD3"/>
    <w:rPr>
      <w:i/>
      <w:iCs/>
      <w:color w:val="0F4761" w:themeColor="accent1" w:themeShade="BF"/>
    </w:rPr>
  </w:style>
  <w:style w:type="paragraph" w:styleId="IntenseQuote">
    <w:name w:val="Intense Quote"/>
    <w:basedOn w:val="Normal"/>
    <w:next w:val="Normal"/>
    <w:link w:val="IntenseQuoteChar"/>
    <w:uiPriority w:val="30"/>
    <w:qFormat/>
    <w:rsid w:val="00911D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1DD3"/>
    <w:rPr>
      <w:i/>
      <w:iCs/>
      <w:color w:val="0F4761" w:themeColor="accent1" w:themeShade="BF"/>
    </w:rPr>
  </w:style>
  <w:style w:type="character" w:styleId="IntenseReference">
    <w:name w:val="Intense Reference"/>
    <w:basedOn w:val="DefaultParagraphFont"/>
    <w:uiPriority w:val="32"/>
    <w:qFormat/>
    <w:rsid w:val="00911DD3"/>
    <w:rPr>
      <w:b/>
      <w:bCs/>
      <w:smallCaps/>
      <w:color w:val="0F4761" w:themeColor="accent1" w:themeShade="BF"/>
      <w:spacing w:val="5"/>
    </w:rPr>
  </w:style>
  <w:style w:type="paragraph" w:styleId="Header">
    <w:name w:val="header"/>
    <w:basedOn w:val="Normal"/>
    <w:link w:val="HeaderChar"/>
    <w:uiPriority w:val="99"/>
    <w:unhideWhenUsed/>
    <w:rsid w:val="00954A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4A74"/>
  </w:style>
  <w:style w:type="paragraph" w:styleId="Footer">
    <w:name w:val="footer"/>
    <w:basedOn w:val="Normal"/>
    <w:link w:val="FooterChar"/>
    <w:uiPriority w:val="99"/>
    <w:unhideWhenUsed/>
    <w:rsid w:val="00954A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4A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3</Pages>
  <Words>842</Words>
  <Characters>4806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kalitaprabodh.bhb@gmail.com</dc:creator>
  <cp:keywords/>
  <dc:description/>
  <cp:lastModifiedBy>kalitaprabodh.bhb@gmail.com</cp:lastModifiedBy>
  <cp:revision>7</cp:revision>
  <dcterms:created xsi:type="dcterms:W3CDTF">2026-10-05T16:58:00Z</dcterms:created>
  <dcterms:modified xsi:type="dcterms:W3CDTF">2026-10-05T17:51:00Z</dcterms:modified>
</cp:coreProperties>
</file>